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CEAA2" w14:textId="38AE852A"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064163">
        <w:rPr>
          <w:rFonts w:ascii="Arial" w:eastAsiaTheme="minorEastAsia" w:hAnsi="Arial" w:cs="Arial"/>
          <w:b/>
          <w:sz w:val="24"/>
          <w:szCs w:val="24"/>
          <w:lang w:eastAsia="zh-CN"/>
        </w:rPr>
        <w:t>3</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R4-24</w:t>
      </w:r>
      <w:r w:rsidR="00553D31">
        <w:rPr>
          <w:rFonts w:ascii="Arial" w:eastAsiaTheme="minorEastAsia" w:hAnsi="Arial" w:cs="Arial"/>
          <w:b/>
          <w:sz w:val="24"/>
          <w:szCs w:val="24"/>
          <w:lang w:eastAsia="zh-CN"/>
        </w:rPr>
        <w:t>17591</w:t>
      </w:r>
    </w:p>
    <w:p w14:paraId="5B870C7D" w14:textId="598D0A94" w:rsidR="00376F68" w:rsidRPr="003A2B9E" w:rsidRDefault="00064163"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Orlando</w:t>
      </w:r>
      <w:r w:rsidR="00C63A89" w:rsidRPr="00C63A89">
        <w:rPr>
          <w:rFonts w:ascii="Arial" w:hAnsi="Arial" w:cs="Arial"/>
          <w:b/>
          <w:sz w:val="24"/>
        </w:rPr>
        <w:t xml:space="preserve">, </w:t>
      </w:r>
      <w:r>
        <w:rPr>
          <w:rFonts w:ascii="Arial" w:hAnsi="Arial" w:cs="Arial"/>
          <w:b/>
          <w:sz w:val="24"/>
        </w:rPr>
        <w:t>USA</w:t>
      </w:r>
      <w:r w:rsidR="00C63A89" w:rsidRPr="00C63A89">
        <w:rPr>
          <w:rFonts w:ascii="Arial" w:hAnsi="Arial" w:cs="Arial"/>
          <w:b/>
          <w:sz w:val="24"/>
        </w:rPr>
        <w:t xml:space="preserve">, </w:t>
      </w:r>
      <w:r w:rsidR="00045562">
        <w:rPr>
          <w:rFonts w:ascii="Arial" w:hAnsi="Arial" w:cs="Arial"/>
          <w:b/>
          <w:sz w:val="24"/>
        </w:rPr>
        <w:t>1</w:t>
      </w:r>
      <w:r>
        <w:rPr>
          <w:rFonts w:ascii="Arial" w:hAnsi="Arial" w:cs="Arial"/>
          <w:b/>
          <w:sz w:val="24"/>
        </w:rPr>
        <w:t>8</w:t>
      </w:r>
      <w:r w:rsidR="00C63A89" w:rsidRPr="00C63A89">
        <w:rPr>
          <w:rFonts w:ascii="Arial" w:hAnsi="Arial" w:cs="Arial"/>
          <w:b/>
          <w:sz w:val="24"/>
        </w:rPr>
        <w:t xml:space="preserve"> – </w:t>
      </w:r>
      <w:r>
        <w:rPr>
          <w:rFonts w:ascii="Arial" w:hAnsi="Arial" w:cs="Arial"/>
          <w:b/>
          <w:sz w:val="24"/>
        </w:rPr>
        <w:t>22</w:t>
      </w:r>
      <w:r w:rsidR="00C63A89" w:rsidRPr="00C63A89">
        <w:rPr>
          <w:rFonts w:ascii="Arial" w:hAnsi="Arial" w:cs="Arial"/>
          <w:b/>
          <w:sz w:val="24"/>
        </w:rPr>
        <w:t xml:space="preserve"> </w:t>
      </w:r>
      <w:r>
        <w:rPr>
          <w:rFonts w:ascii="Arial" w:hAnsi="Arial" w:cs="Arial"/>
          <w:b/>
          <w:sz w:val="24"/>
        </w:rPr>
        <w:t>November</w:t>
      </w:r>
      <w:r w:rsidR="00C63A89" w:rsidRPr="00C63A89">
        <w:rPr>
          <w:rFonts w:ascii="Arial" w:hAnsi="Arial" w:cs="Arial"/>
          <w:b/>
          <w:sz w:val="24"/>
        </w:rPr>
        <w:t>, 2024</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11D00D24"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5378B3">
        <w:rPr>
          <w:rFonts w:ascii="Arial" w:eastAsia="MS Mincho" w:hAnsi="Arial" w:cs="Arial"/>
          <w:sz w:val="22"/>
          <w:lang w:val="pt-BR" w:eastAsia="ja-JP"/>
        </w:rPr>
        <w:t>7</w:t>
      </w:r>
      <w:r w:rsidR="00316742" w:rsidRPr="00891DD1">
        <w:rPr>
          <w:rFonts w:ascii="Arial" w:eastAsia="MS Mincho" w:hAnsi="Arial" w:cs="Arial"/>
          <w:sz w:val="22"/>
          <w:lang w:val="pt-BR" w:eastAsia="ja-JP"/>
        </w:rPr>
        <w:t>.12.2.</w:t>
      </w:r>
      <w:r w:rsidR="005378B3">
        <w:rPr>
          <w:rFonts w:ascii="Arial" w:eastAsia="MS Mincho" w:hAnsi="Arial" w:cs="Arial"/>
          <w:sz w:val="22"/>
          <w:lang w:val="pt-BR" w:eastAsia="ja-JP"/>
        </w:rPr>
        <w:t>2</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1CDCBA5B"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5378B3">
        <w:rPr>
          <w:rFonts w:ascii="Arial" w:eastAsia="MS Mincho" w:hAnsi="Arial" w:cs="Arial"/>
          <w:sz w:val="22"/>
        </w:rPr>
        <w:t>NTN</w:t>
      </w:r>
      <w:r w:rsidR="00891DD1" w:rsidRPr="00891DD1">
        <w:rPr>
          <w:rFonts w:ascii="Arial" w:eastAsia="MS Mincho" w:hAnsi="Arial" w:cs="Arial"/>
          <w:sz w:val="22"/>
        </w:rPr>
        <w:t xml:space="preserve"> OTA test</w:t>
      </w:r>
      <w:r w:rsidR="00553D31">
        <w:rPr>
          <w:rFonts w:ascii="Arial" w:eastAsia="MS Mincho" w:hAnsi="Arial" w:cs="Arial"/>
          <w:sz w:val="22"/>
        </w:rPr>
        <w:t>s</w:t>
      </w:r>
    </w:p>
    <w:p w14:paraId="00F33953" w14:textId="220FBCF5"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6155155A" w:rsidR="00FC2478" w:rsidRDefault="00DA66B4" w:rsidP="00FC2478">
      <w:pPr>
        <w:rPr>
          <w:lang w:eastAsia="zh-CN"/>
        </w:rPr>
      </w:pPr>
      <w:r>
        <w:rPr>
          <w:noProof/>
          <w:lang w:eastAsia="zh-CN"/>
        </w:rPr>
        <mc:AlternateContent>
          <mc:Choice Requires="wps">
            <w:drawing>
              <wp:anchor distT="0" distB="0" distL="114300" distR="114300" simplePos="0" relativeHeight="251659264" behindDoc="0" locked="0" layoutInCell="1" allowOverlap="1" wp14:anchorId="1820F810" wp14:editId="0582CEB3">
                <wp:simplePos x="0" y="0"/>
                <wp:positionH relativeFrom="column">
                  <wp:posOffset>-60869</wp:posOffset>
                </wp:positionH>
                <wp:positionV relativeFrom="paragraph">
                  <wp:posOffset>392067</wp:posOffset>
                </wp:positionV>
                <wp:extent cx="6139543" cy="1050472"/>
                <wp:effectExtent l="0" t="0" r="13970" b="16510"/>
                <wp:wrapNone/>
                <wp:docPr id="1" name="Rectangle 1"/>
                <wp:cNvGraphicFramePr/>
                <a:graphic xmlns:a="http://schemas.openxmlformats.org/drawingml/2006/main">
                  <a:graphicData uri="http://schemas.microsoft.com/office/word/2010/wordprocessingShape">
                    <wps:wsp>
                      <wps:cNvSpPr/>
                      <wps:spPr>
                        <a:xfrm>
                          <a:off x="0" y="0"/>
                          <a:ext cx="6139543" cy="105047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6E785A" id="Rectangle 1" o:spid="_x0000_s1026" style="position:absolute;margin-left:-4.8pt;margin-top:30.85pt;width:483.45pt;height:82.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" filled="f" strokecolor="#1f3763 [1604]" strokeweight="1pt"/>
            </w:pict>
          </mc:Fallback>
        </mc:AlternateContent>
      </w:r>
      <w:r w:rsidR="00FC2478" w:rsidRPr="002A087A">
        <w:rPr>
          <w:lang w:eastAsia="zh-CN"/>
        </w:rPr>
        <w:t>Th</w:t>
      </w:r>
      <w:r w:rsidR="009857F1">
        <w:rPr>
          <w:lang w:eastAsia="zh-CN"/>
        </w:rPr>
        <w:t>e WF in the last meeting [1] highlights the following issue</w:t>
      </w:r>
      <w:r>
        <w:rPr>
          <w:lang w:eastAsia="zh-CN"/>
        </w:rPr>
        <w:t xml:space="preserve"> on the use of circular polarization for TRP and TRS tests. This contribution discusses the issue further and proposes a TRS measurement time reduction method.</w:t>
      </w:r>
    </w:p>
    <w:p w14:paraId="68727DF5" w14:textId="77777777" w:rsidR="00DA66B4" w:rsidRDefault="00DA66B4" w:rsidP="00DA66B4">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3</w:t>
      </w:r>
      <w:r>
        <w:rPr>
          <w:b/>
          <w:u w:val="single"/>
          <w:lang w:eastAsia="ko-KR"/>
        </w:rPr>
        <w:t>-</w:t>
      </w:r>
      <w:r>
        <w:rPr>
          <w:rFonts w:hint="eastAsia"/>
          <w:b/>
          <w:u w:val="single"/>
          <w:lang w:eastAsia="zh-CN"/>
        </w:rPr>
        <w:t>4</w:t>
      </w:r>
      <w:r>
        <w:rPr>
          <w:b/>
          <w:u w:val="single"/>
          <w:lang w:eastAsia="zh-CN"/>
        </w:rPr>
        <w:t xml:space="preserve">: </w:t>
      </w:r>
      <w:r>
        <w:rPr>
          <w:rFonts w:hint="eastAsia"/>
          <w:b/>
          <w:u w:val="single"/>
          <w:lang w:eastAsia="zh-CN"/>
        </w:rPr>
        <w:t>How to resolve UE</w:t>
      </w:r>
      <w:r w:rsidRPr="00C32A9A">
        <w:rPr>
          <w:rFonts w:hint="eastAsia"/>
          <w:b/>
          <w:u w:val="single"/>
          <w:lang w:eastAsia="zh-CN"/>
        </w:rPr>
        <w:t xml:space="preserve"> antenna </w:t>
      </w:r>
      <w:r w:rsidRPr="00C32A9A">
        <w:rPr>
          <w:b/>
          <w:u w:val="single"/>
          <w:lang w:eastAsia="zh-CN"/>
        </w:rPr>
        <w:t>circular polarization</w:t>
      </w:r>
      <w:r>
        <w:rPr>
          <w:rFonts w:hint="eastAsia"/>
          <w:b/>
          <w:u w:val="single"/>
          <w:lang w:eastAsia="zh-CN"/>
        </w:rPr>
        <w:t xml:space="preserve"> issue</w:t>
      </w:r>
    </w:p>
    <w:p w14:paraId="0B571B6A" w14:textId="77777777" w:rsidR="00DA66B4" w:rsidRPr="0042321D" w:rsidRDefault="00DA66B4" w:rsidP="00DA66B4">
      <w:pPr>
        <w:spacing w:after="120"/>
        <w:rPr>
          <w:szCs w:val="24"/>
          <w:lang w:eastAsia="zh-CN"/>
        </w:rPr>
      </w:pPr>
      <w:r>
        <w:rPr>
          <w:rFonts w:hint="eastAsia"/>
          <w:szCs w:val="24"/>
          <w:lang w:eastAsia="zh-CN"/>
        </w:rPr>
        <w:t>Agreements:</w:t>
      </w:r>
    </w:p>
    <w:p w14:paraId="27C36B34" w14:textId="77777777" w:rsidR="00DA66B4" w:rsidRPr="00DA66B4" w:rsidRDefault="00DA66B4" w:rsidP="00DA66B4">
      <w:pPr>
        <w:pStyle w:val="ListParagraph"/>
        <w:numPr>
          <w:ilvl w:val="1"/>
          <w:numId w:val="1"/>
        </w:numPr>
        <w:spacing w:after="120"/>
        <w:ind w:firstLineChars="0"/>
        <w:rPr>
          <w:rFonts w:eastAsia="SimSun"/>
          <w:bCs/>
          <w:szCs w:val="24"/>
          <w:lang w:eastAsia="zh-CN"/>
        </w:rPr>
      </w:pPr>
      <w:r w:rsidRPr="00DA66B4">
        <w:rPr>
          <w:rFonts w:eastAsia="SimSun"/>
          <w:bCs/>
          <w:szCs w:val="24"/>
          <w:lang w:eastAsia="zh-CN"/>
        </w:rPr>
        <w:t>RAN4 to further study the need for circular polarization for NR NTN conformance testing</w:t>
      </w:r>
    </w:p>
    <w:p w14:paraId="0EF47E7D" w14:textId="77777777" w:rsidR="00DA66B4" w:rsidRPr="00DA66B4" w:rsidRDefault="00DA66B4" w:rsidP="00DA66B4">
      <w:pPr>
        <w:pStyle w:val="ListParagraph"/>
        <w:numPr>
          <w:ilvl w:val="1"/>
          <w:numId w:val="1"/>
        </w:numPr>
        <w:overflowPunct/>
        <w:autoSpaceDE/>
        <w:autoSpaceDN/>
        <w:adjustRightInd/>
        <w:spacing w:after="120"/>
        <w:ind w:firstLineChars="0"/>
        <w:textAlignment w:val="auto"/>
        <w:rPr>
          <w:rFonts w:eastAsia="SimSun"/>
          <w:bCs/>
          <w:szCs w:val="24"/>
          <w:lang w:eastAsia="zh-CN"/>
        </w:rPr>
      </w:pPr>
      <w:r w:rsidRPr="00DA66B4">
        <w:rPr>
          <w:rFonts w:eastAsia="SimSun" w:hint="eastAsia"/>
          <w:bCs/>
          <w:szCs w:val="24"/>
          <w:lang w:eastAsia="zh-CN"/>
        </w:rPr>
        <w:t>F</w:t>
      </w:r>
      <w:r w:rsidRPr="00DA66B4">
        <w:rPr>
          <w:rFonts w:eastAsia="SimSun"/>
          <w:bCs/>
          <w:szCs w:val="24"/>
          <w:lang w:eastAsia="zh-CN"/>
        </w:rPr>
        <w:t>eedback from OEMs and Satellite Vendors on the need for CP testing and test system impacts to support CP OTA conformance testing from TE/System vendors is requested</w:t>
      </w:r>
      <w:r w:rsidRPr="00DA66B4">
        <w:rPr>
          <w:rFonts w:eastAsia="SimSun" w:hint="eastAsia"/>
          <w:bCs/>
          <w:szCs w:val="24"/>
          <w:lang w:eastAsia="zh-CN"/>
        </w:rPr>
        <w:t>.</w:t>
      </w:r>
    </w:p>
    <w:p w14:paraId="20C22218" w14:textId="7483E535" w:rsidR="00806C4E" w:rsidRPr="00806C4E" w:rsidRDefault="00806C4E" w:rsidP="00806C4E">
      <w:pPr>
        <w:pStyle w:val="Heading1"/>
        <w:rPr>
          <w:lang w:eastAsia="ja-JP"/>
        </w:rPr>
      </w:pPr>
      <w:r>
        <w:rPr>
          <w:lang w:eastAsia="ja-JP"/>
        </w:rPr>
        <w:t>Discussion</w:t>
      </w:r>
    </w:p>
    <w:p w14:paraId="35F62290" w14:textId="5349857A" w:rsidR="003168E8" w:rsidRDefault="003168E8" w:rsidP="004E75F6">
      <w:pPr>
        <w:spacing w:after="100"/>
        <w:rPr>
          <w:rFonts w:eastAsiaTheme="minorEastAsia"/>
          <w:bCs/>
          <w:lang w:eastAsia="zh-CN"/>
        </w:rPr>
      </w:pPr>
      <w:r>
        <w:rPr>
          <w:rFonts w:eastAsiaTheme="minorEastAsia"/>
          <w:bCs/>
          <w:lang w:eastAsia="zh-CN"/>
        </w:rPr>
        <w:t>All the satellites in operation</w:t>
      </w:r>
      <w:r w:rsidR="00512B2E">
        <w:rPr>
          <w:rFonts w:eastAsiaTheme="minorEastAsia"/>
          <w:bCs/>
          <w:lang w:eastAsia="zh-CN"/>
        </w:rPr>
        <w:t xml:space="preserve"> today</w:t>
      </w:r>
      <w:r>
        <w:rPr>
          <w:rFonts w:eastAsiaTheme="minorEastAsia"/>
          <w:bCs/>
          <w:lang w:eastAsia="zh-CN"/>
        </w:rPr>
        <w:t xml:space="preserve"> use circularly polarized signals to reduce propagation impact. However, current TRP and TRS measurement systems employ linear polarization</w:t>
      </w:r>
      <w:r w:rsidR="00252CF0">
        <w:rPr>
          <w:rFonts w:eastAsiaTheme="minorEastAsia"/>
          <w:bCs/>
          <w:lang w:eastAsia="zh-CN"/>
        </w:rPr>
        <w:t>, s</w:t>
      </w:r>
      <w:r>
        <w:rPr>
          <w:rFonts w:eastAsiaTheme="minorEastAsia"/>
          <w:bCs/>
          <w:lang w:eastAsia="zh-CN"/>
        </w:rPr>
        <w:t xml:space="preserve">o do most, if not all, smartphones. If linear polarization is used to measure TRP and TRS for NTN devices, it would drive device development </w:t>
      </w:r>
      <w:r w:rsidR="00CD0165">
        <w:rPr>
          <w:rFonts w:eastAsiaTheme="minorEastAsia"/>
          <w:bCs/>
          <w:lang w:eastAsia="zh-CN"/>
        </w:rPr>
        <w:t xml:space="preserve">and optimisation </w:t>
      </w:r>
      <w:r>
        <w:rPr>
          <w:rFonts w:eastAsiaTheme="minorEastAsia"/>
          <w:bCs/>
          <w:lang w:eastAsia="zh-CN"/>
        </w:rPr>
        <w:t>in the wrong direction</w:t>
      </w:r>
      <w:r w:rsidR="00252CF0">
        <w:rPr>
          <w:rFonts w:eastAsiaTheme="minorEastAsia"/>
          <w:bCs/>
          <w:lang w:eastAsia="zh-CN"/>
        </w:rPr>
        <w:t>. Namely device manufacturers would optimise the device performance for linear polarization while circular polarization is used in reality.</w:t>
      </w:r>
    </w:p>
    <w:p w14:paraId="2583B88B" w14:textId="12191DD1" w:rsidR="00345079" w:rsidRDefault="00252CF0" w:rsidP="004E75F6">
      <w:pPr>
        <w:spacing w:after="100"/>
        <w:rPr>
          <w:rFonts w:eastAsiaTheme="minorEastAsia"/>
          <w:bCs/>
          <w:lang w:eastAsia="zh-CN"/>
        </w:rPr>
      </w:pPr>
      <w:r>
        <w:rPr>
          <w:rFonts w:eastAsiaTheme="minorEastAsia"/>
          <w:bCs/>
          <w:lang w:eastAsia="zh-CN"/>
        </w:rPr>
        <w:t xml:space="preserve">An alternative to the use of circular polarization is to continue to use linear polarization with an offset to account for the </w:t>
      </w:r>
      <w:r w:rsidR="00F4711F">
        <w:rPr>
          <w:rFonts w:eastAsiaTheme="minorEastAsia"/>
          <w:bCs/>
          <w:lang w:eastAsia="zh-CN"/>
        </w:rPr>
        <w:t xml:space="preserve">performance </w:t>
      </w:r>
      <w:r>
        <w:rPr>
          <w:rFonts w:eastAsiaTheme="minorEastAsia"/>
          <w:bCs/>
          <w:lang w:eastAsia="zh-CN"/>
        </w:rPr>
        <w:t xml:space="preserve">difference or loss between linear and circular polarization. Such an approach is </w:t>
      </w:r>
      <w:r w:rsidR="00AA087F">
        <w:rPr>
          <w:rFonts w:eastAsiaTheme="minorEastAsia"/>
          <w:bCs/>
          <w:lang w:eastAsia="zh-CN"/>
        </w:rPr>
        <w:t>im</w:t>
      </w:r>
      <w:r>
        <w:rPr>
          <w:rFonts w:eastAsiaTheme="minorEastAsia"/>
          <w:bCs/>
          <w:lang w:eastAsia="zh-CN"/>
        </w:rPr>
        <w:t xml:space="preserve">practical because (a) it is difficult to derive or agree </w:t>
      </w:r>
      <w:r w:rsidR="00AA087F">
        <w:rPr>
          <w:rFonts w:eastAsiaTheme="minorEastAsia"/>
          <w:bCs/>
          <w:lang w:eastAsia="zh-CN"/>
        </w:rPr>
        <w:t xml:space="preserve">on </w:t>
      </w:r>
      <w:r>
        <w:rPr>
          <w:rFonts w:eastAsiaTheme="minorEastAsia"/>
          <w:bCs/>
          <w:lang w:eastAsia="zh-CN"/>
        </w:rPr>
        <w:t xml:space="preserve">an offset (b) this would still drive device performance </w:t>
      </w:r>
      <w:r w:rsidR="00F4711F">
        <w:rPr>
          <w:rFonts w:eastAsiaTheme="minorEastAsia"/>
          <w:bCs/>
          <w:lang w:eastAsia="zh-CN"/>
        </w:rPr>
        <w:t xml:space="preserve">optimisation </w:t>
      </w:r>
      <w:r>
        <w:rPr>
          <w:rFonts w:eastAsiaTheme="minorEastAsia"/>
          <w:bCs/>
          <w:lang w:eastAsia="zh-CN"/>
        </w:rPr>
        <w:t>in a wrong direction.</w:t>
      </w:r>
    </w:p>
    <w:p w14:paraId="3338A04F" w14:textId="3A83070D" w:rsidR="00252CF0" w:rsidRDefault="00345079" w:rsidP="004E75F6">
      <w:pPr>
        <w:spacing w:after="100"/>
        <w:rPr>
          <w:rFonts w:eastAsiaTheme="minorEastAsia"/>
          <w:bCs/>
          <w:lang w:eastAsia="zh-CN"/>
        </w:rPr>
      </w:pPr>
      <w:r>
        <w:rPr>
          <w:rFonts w:eastAsiaTheme="minorEastAsia"/>
          <w:bCs/>
          <w:lang w:eastAsia="zh-CN"/>
        </w:rPr>
        <w:t>The use of circular polarization would require some modifications to existing lab configurations as shown in [2]</w:t>
      </w:r>
      <w:r w:rsidR="00CD0165">
        <w:rPr>
          <w:rFonts w:eastAsiaTheme="minorEastAsia"/>
          <w:bCs/>
          <w:lang w:eastAsia="zh-CN"/>
        </w:rPr>
        <w:t>, but such modifications are implementable without a huge amount of disruption</w:t>
      </w:r>
      <w:r>
        <w:rPr>
          <w:rFonts w:eastAsiaTheme="minorEastAsia"/>
          <w:bCs/>
          <w:lang w:eastAsia="zh-CN"/>
        </w:rPr>
        <w:t>.</w:t>
      </w:r>
      <w:r w:rsidR="00252CF0">
        <w:rPr>
          <w:rFonts w:eastAsiaTheme="minorEastAsia"/>
          <w:bCs/>
          <w:lang w:eastAsia="zh-CN"/>
        </w:rPr>
        <w:t xml:space="preserve"> </w:t>
      </w:r>
    </w:p>
    <w:p w14:paraId="361DE855" w14:textId="49BA0A8A" w:rsidR="00345079" w:rsidRDefault="00345079" w:rsidP="004E75F6">
      <w:pPr>
        <w:spacing w:after="100"/>
        <w:rPr>
          <w:rFonts w:eastAsiaTheme="minorEastAsia"/>
          <w:bCs/>
          <w:lang w:eastAsia="zh-CN"/>
        </w:rPr>
      </w:pPr>
      <w:r w:rsidRPr="00486206">
        <w:rPr>
          <w:rFonts w:eastAsiaTheme="minorEastAsia"/>
          <w:b/>
          <w:bCs/>
          <w:lang w:eastAsia="zh-CN"/>
        </w:rPr>
        <w:t>Proposal 1:</w:t>
      </w:r>
      <w:r>
        <w:rPr>
          <w:rFonts w:eastAsiaTheme="minorEastAsia"/>
          <w:bCs/>
          <w:lang w:eastAsia="zh-CN"/>
        </w:rPr>
        <w:t xml:space="preserve"> circular polarization shall be used for TRP and TRS measurement</w:t>
      </w:r>
      <w:r w:rsidR="00486206">
        <w:rPr>
          <w:rFonts w:eastAsiaTheme="minorEastAsia"/>
          <w:bCs/>
          <w:lang w:eastAsia="zh-CN"/>
        </w:rPr>
        <w:t xml:space="preserve"> for NTN device performances.</w:t>
      </w:r>
    </w:p>
    <w:p w14:paraId="1DF9B4FD" w14:textId="77777777" w:rsidR="003168E8" w:rsidRDefault="003168E8" w:rsidP="004E75F6">
      <w:pPr>
        <w:spacing w:after="100"/>
        <w:rPr>
          <w:rFonts w:eastAsiaTheme="minorEastAsia"/>
          <w:bCs/>
          <w:lang w:eastAsia="zh-CN"/>
        </w:rPr>
      </w:pPr>
    </w:p>
    <w:p w14:paraId="5D1C9D29" w14:textId="4FB25BE8" w:rsidR="00ED068A" w:rsidRDefault="00ED068A" w:rsidP="004E75F6">
      <w:pPr>
        <w:spacing w:after="100"/>
        <w:rPr>
          <w:rFonts w:eastAsiaTheme="minorEastAsia"/>
          <w:bCs/>
          <w:lang w:eastAsia="zh-CN"/>
        </w:rPr>
      </w:pPr>
      <w:r>
        <w:rPr>
          <w:rFonts w:eastAsiaTheme="minorEastAsia"/>
          <w:bCs/>
          <w:lang w:eastAsia="zh-CN"/>
        </w:rPr>
        <w:t>TS 38.521-5 [3] references</w:t>
      </w:r>
      <w:r w:rsidR="00045713" w:rsidRPr="00045713">
        <w:rPr>
          <w:rFonts w:eastAsiaTheme="minorEastAsia"/>
          <w:bCs/>
          <w:lang w:eastAsia="zh-CN"/>
        </w:rPr>
        <w:t xml:space="preserve"> tables in section 5.6.2.1 of </w:t>
      </w:r>
      <w:r>
        <w:rPr>
          <w:rFonts w:eastAsiaTheme="minorEastAsia"/>
          <w:bCs/>
          <w:lang w:eastAsia="zh-CN"/>
        </w:rPr>
        <w:t>TS 38.508-1 [4] for delay parameters</w:t>
      </w:r>
      <w:r w:rsidR="0067605A">
        <w:rPr>
          <w:rFonts w:eastAsiaTheme="minorEastAsia"/>
          <w:bCs/>
          <w:lang w:eastAsia="zh-CN"/>
        </w:rPr>
        <w:t xml:space="preserve">. For example, </w:t>
      </w:r>
      <w:r w:rsidR="00045713" w:rsidRPr="00045713">
        <w:rPr>
          <w:rFonts w:eastAsiaTheme="minorEastAsia"/>
          <w:bCs/>
          <w:lang w:eastAsia="zh-CN"/>
        </w:rPr>
        <w:t>Table 5.6.2.1-1 for GSO shows one-way delay of 127.33ms while Table 5.6.2.1-2 for LEO-600 and Table 5.6.2.1-3 for LEO-1200 show one-way delay</w:t>
      </w:r>
      <w:r w:rsidR="00CD0165">
        <w:rPr>
          <w:rFonts w:eastAsiaTheme="minorEastAsia"/>
          <w:bCs/>
          <w:lang w:eastAsia="zh-CN"/>
        </w:rPr>
        <w:t>s</w:t>
      </w:r>
      <w:r w:rsidR="00045713" w:rsidRPr="00045713">
        <w:rPr>
          <w:rFonts w:eastAsiaTheme="minorEastAsia"/>
          <w:bCs/>
          <w:lang w:eastAsia="zh-CN"/>
        </w:rPr>
        <w:t xml:space="preserve"> of 2.03ms and 4.04ms, respectively</w:t>
      </w:r>
      <w:r w:rsidR="00045713">
        <w:rPr>
          <w:rFonts w:eastAsiaTheme="minorEastAsia"/>
          <w:bCs/>
          <w:lang w:eastAsia="zh-CN"/>
        </w:rPr>
        <w:t>.</w:t>
      </w:r>
    </w:p>
    <w:p w14:paraId="1A861ADA" w14:textId="4033BCDC" w:rsidR="00E76F4B" w:rsidRDefault="00045713" w:rsidP="004E75F6">
      <w:pPr>
        <w:spacing w:after="100"/>
        <w:rPr>
          <w:rFonts w:eastAsiaTheme="minorEastAsia"/>
          <w:bCs/>
          <w:lang w:eastAsia="zh-CN"/>
        </w:rPr>
      </w:pPr>
      <w:r>
        <w:rPr>
          <w:rFonts w:eastAsiaTheme="minorEastAsia"/>
          <w:bCs/>
          <w:lang w:eastAsia="zh-CN"/>
        </w:rPr>
        <w:t xml:space="preserve">Table IV in [2] shows 16% measurement time reduction when RTT (Round Trip Time) is set zero compared to RTT of 240ms emulating GSO scenario while the </w:t>
      </w:r>
      <w:r w:rsidR="00492081">
        <w:rPr>
          <w:rFonts w:eastAsiaTheme="minorEastAsia"/>
          <w:bCs/>
          <w:lang w:eastAsia="zh-CN"/>
        </w:rPr>
        <w:t xml:space="preserve">repeatedly </w:t>
      </w:r>
      <w:r>
        <w:rPr>
          <w:rFonts w:eastAsiaTheme="minorEastAsia"/>
          <w:bCs/>
          <w:lang w:eastAsia="zh-CN"/>
        </w:rPr>
        <w:t>measured TRS values with different RTT in Table III are almost same. Namely RTT can be set to zero or a very low value to reduce measurement</w:t>
      </w:r>
      <w:r w:rsidR="00AA087F">
        <w:rPr>
          <w:rFonts w:eastAsiaTheme="minorEastAsia"/>
          <w:bCs/>
          <w:lang w:eastAsia="zh-CN"/>
        </w:rPr>
        <w:t xml:space="preserve"> time</w:t>
      </w:r>
      <w:r>
        <w:rPr>
          <w:rFonts w:eastAsiaTheme="minorEastAsia"/>
          <w:bCs/>
          <w:lang w:eastAsia="zh-CN"/>
        </w:rPr>
        <w:t xml:space="preserve">. An MU term could also be considered if </w:t>
      </w:r>
      <w:r w:rsidR="00F4711F">
        <w:rPr>
          <w:rFonts w:eastAsiaTheme="minorEastAsia"/>
          <w:bCs/>
          <w:lang w:eastAsia="zh-CN"/>
        </w:rPr>
        <w:t xml:space="preserve">the </w:t>
      </w:r>
      <w:bookmarkStart w:id="1" w:name="_GoBack"/>
      <w:bookmarkEnd w:id="1"/>
      <w:r w:rsidR="00F4711F">
        <w:rPr>
          <w:rFonts w:eastAsiaTheme="minorEastAsia"/>
          <w:bCs/>
          <w:lang w:eastAsia="zh-CN"/>
        </w:rPr>
        <w:t xml:space="preserve">impact of </w:t>
      </w:r>
      <w:r>
        <w:rPr>
          <w:rFonts w:eastAsiaTheme="minorEastAsia"/>
          <w:bCs/>
          <w:lang w:eastAsia="zh-CN"/>
        </w:rPr>
        <w:t>set</w:t>
      </w:r>
      <w:r w:rsidR="00F4711F">
        <w:rPr>
          <w:rFonts w:eastAsiaTheme="minorEastAsia"/>
          <w:bCs/>
          <w:lang w:eastAsia="zh-CN"/>
        </w:rPr>
        <w:t>ting RTT</w:t>
      </w:r>
      <w:r>
        <w:rPr>
          <w:rFonts w:eastAsiaTheme="minorEastAsia"/>
          <w:bCs/>
          <w:lang w:eastAsia="zh-CN"/>
        </w:rPr>
        <w:t xml:space="preserve"> to zero or a very low value for GSO cases</w:t>
      </w:r>
      <w:r w:rsidR="00F4711F">
        <w:rPr>
          <w:rFonts w:eastAsiaTheme="minorEastAsia"/>
          <w:bCs/>
          <w:lang w:eastAsia="zh-CN"/>
        </w:rPr>
        <w:t xml:space="preserve"> is deemed significant</w:t>
      </w:r>
      <w:r>
        <w:rPr>
          <w:rFonts w:eastAsiaTheme="minorEastAsia"/>
          <w:bCs/>
          <w:lang w:eastAsia="zh-CN"/>
        </w:rPr>
        <w:t>.</w:t>
      </w:r>
      <w:r w:rsidR="00E76F4B">
        <w:rPr>
          <w:rFonts w:eastAsiaTheme="minorEastAsia"/>
          <w:bCs/>
          <w:lang w:eastAsia="zh-CN"/>
        </w:rPr>
        <w:t xml:space="preserve"> </w:t>
      </w:r>
    </w:p>
    <w:p w14:paraId="0B3F1FFB" w14:textId="31E3D611" w:rsidR="001D0755" w:rsidRDefault="00E76F4B" w:rsidP="004E75F6">
      <w:pPr>
        <w:spacing w:after="100"/>
        <w:rPr>
          <w:rFonts w:eastAsiaTheme="minorEastAsia"/>
          <w:bCs/>
          <w:lang w:eastAsia="zh-CN"/>
        </w:rPr>
      </w:pPr>
      <w:r>
        <w:rPr>
          <w:rFonts w:eastAsiaTheme="minorEastAsia"/>
          <w:bCs/>
          <w:lang w:eastAsia="zh-CN"/>
        </w:rPr>
        <w:t>However</w:t>
      </w:r>
      <w:r w:rsidR="00EF38C4">
        <w:rPr>
          <w:rFonts w:eastAsiaTheme="minorEastAsia"/>
          <w:bCs/>
          <w:lang w:eastAsia="zh-CN"/>
        </w:rPr>
        <w:t>,</w:t>
      </w:r>
      <w:r>
        <w:rPr>
          <w:rFonts w:eastAsiaTheme="minorEastAsia"/>
          <w:bCs/>
          <w:lang w:eastAsia="zh-CN"/>
        </w:rPr>
        <w:t xml:space="preserve"> measurement time reduction would be very </w:t>
      </w:r>
      <w:r w:rsidR="00A53B78" w:rsidRPr="00A53B78">
        <w:rPr>
          <w:rFonts w:eastAsiaTheme="minorEastAsia"/>
          <w:bCs/>
          <w:lang w:eastAsia="zh-CN"/>
        </w:rPr>
        <w:t xml:space="preserve">limited or </w:t>
      </w:r>
      <w:r>
        <w:rPr>
          <w:rFonts w:eastAsiaTheme="minorEastAsia"/>
          <w:bCs/>
          <w:lang w:eastAsia="zh-CN"/>
        </w:rPr>
        <w:t xml:space="preserve">none at all </w:t>
      </w:r>
      <w:r w:rsidR="00A53B78" w:rsidRPr="00A53B78">
        <w:rPr>
          <w:rFonts w:eastAsiaTheme="minorEastAsia"/>
          <w:bCs/>
          <w:lang w:eastAsia="zh-CN"/>
        </w:rPr>
        <w:t>for NGSO such as LE600 and LE1200</w:t>
      </w:r>
      <w:r>
        <w:rPr>
          <w:rFonts w:eastAsiaTheme="minorEastAsia"/>
          <w:bCs/>
          <w:lang w:eastAsia="zh-CN"/>
        </w:rPr>
        <w:t xml:space="preserve"> scenarios because the inherent delay is very low already.</w:t>
      </w:r>
    </w:p>
    <w:p w14:paraId="245A2901" w14:textId="5425C11A" w:rsidR="00EF38C4" w:rsidRDefault="00EF38C4" w:rsidP="004E75F6">
      <w:pPr>
        <w:spacing w:after="100"/>
        <w:rPr>
          <w:rFonts w:eastAsiaTheme="minorEastAsia"/>
          <w:bCs/>
          <w:lang w:eastAsia="zh-CN"/>
        </w:rPr>
      </w:pPr>
      <w:r w:rsidRPr="00AB374F">
        <w:rPr>
          <w:rFonts w:eastAsiaTheme="minorEastAsia"/>
          <w:b/>
          <w:bCs/>
          <w:lang w:eastAsia="zh-CN"/>
        </w:rPr>
        <w:t>Proposal 2</w:t>
      </w:r>
      <w:r>
        <w:rPr>
          <w:rFonts w:eastAsiaTheme="minorEastAsia"/>
          <w:bCs/>
          <w:lang w:eastAsia="zh-CN"/>
        </w:rPr>
        <w:t xml:space="preserve">: set </w:t>
      </w:r>
      <w:r w:rsidR="00AA087F">
        <w:rPr>
          <w:rFonts w:eastAsiaTheme="minorEastAsia"/>
          <w:bCs/>
          <w:lang w:eastAsia="zh-CN"/>
        </w:rPr>
        <w:t xml:space="preserve">NTN </w:t>
      </w:r>
      <w:r>
        <w:rPr>
          <w:rFonts w:eastAsiaTheme="minorEastAsia"/>
          <w:bCs/>
          <w:lang w:eastAsia="zh-CN"/>
        </w:rPr>
        <w:t>RTT (Round Trip Time) to zero or a very low value to reduce TRS measurement time.</w:t>
      </w:r>
    </w:p>
    <w:p w14:paraId="3E559EEC" w14:textId="468C8CAD" w:rsidR="00806C4E" w:rsidRDefault="00806C4E" w:rsidP="00806C4E">
      <w:pPr>
        <w:pStyle w:val="Heading1"/>
        <w:rPr>
          <w:lang w:eastAsia="ja-JP"/>
        </w:rPr>
      </w:pPr>
      <w:r>
        <w:rPr>
          <w:lang w:eastAsia="ja-JP"/>
        </w:rPr>
        <w:t>Conclusion</w:t>
      </w:r>
    </w:p>
    <w:p w14:paraId="7E348AC0" w14:textId="71EC2056" w:rsidR="00076052" w:rsidRDefault="00C64B41" w:rsidP="00076052">
      <w:pPr>
        <w:rPr>
          <w:lang w:val="sv-SE" w:eastAsia="ja-JP"/>
        </w:rPr>
      </w:pPr>
      <w:r>
        <w:rPr>
          <w:lang w:val="sv-SE" w:eastAsia="ja-JP"/>
        </w:rPr>
        <w:t>This contribution has the following proposals.</w:t>
      </w:r>
    </w:p>
    <w:p w14:paraId="6F28B629" w14:textId="77777777" w:rsidR="00C64B41" w:rsidRDefault="00C64B41" w:rsidP="00C64B41">
      <w:pPr>
        <w:spacing w:after="100"/>
        <w:rPr>
          <w:rFonts w:eastAsiaTheme="minorEastAsia"/>
          <w:bCs/>
          <w:lang w:eastAsia="zh-CN"/>
        </w:rPr>
      </w:pPr>
      <w:r w:rsidRPr="00486206">
        <w:rPr>
          <w:rFonts w:eastAsiaTheme="minorEastAsia"/>
          <w:b/>
          <w:bCs/>
          <w:lang w:eastAsia="zh-CN"/>
        </w:rPr>
        <w:lastRenderedPageBreak/>
        <w:t>Proposal 1:</w:t>
      </w:r>
      <w:r>
        <w:rPr>
          <w:rFonts w:eastAsiaTheme="minorEastAsia"/>
          <w:bCs/>
          <w:lang w:eastAsia="zh-CN"/>
        </w:rPr>
        <w:t xml:space="preserve"> circular polarization shall be used for TRP and TRS measurement for NTN device performances.</w:t>
      </w:r>
    </w:p>
    <w:p w14:paraId="0AA17596" w14:textId="17D1289B" w:rsidR="00C64B41" w:rsidRPr="00C64B41" w:rsidRDefault="00C64B41" w:rsidP="00C64B41">
      <w:pPr>
        <w:spacing w:after="100"/>
        <w:rPr>
          <w:rFonts w:eastAsiaTheme="minorEastAsia"/>
          <w:bCs/>
          <w:lang w:eastAsia="zh-CN"/>
        </w:rPr>
      </w:pPr>
      <w:r w:rsidRPr="00AB374F">
        <w:rPr>
          <w:rFonts w:eastAsiaTheme="minorEastAsia"/>
          <w:b/>
          <w:bCs/>
          <w:lang w:eastAsia="zh-CN"/>
        </w:rPr>
        <w:t>Proposal 2</w:t>
      </w:r>
      <w:r>
        <w:rPr>
          <w:rFonts w:eastAsiaTheme="minorEastAsia"/>
          <w:bCs/>
          <w:lang w:eastAsia="zh-CN"/>
        </w:rPr>
        <w:t xml:space="preserve">: set </w:t>
      </w:r>
      <w:r w:rsidR="00AA087F">
        <w:rPr>
          <w:rFonts w:eastAsiaTheme="minorEastAsia"/>
          <w:bCs/>
          <w:lang w:eastAsia="zh-CN"/>
        </w:rPr>
        <w:t xml:space="preserve">NTN </w:t>
      </w:r>
      <w:r>
        <w:rPr>
          <w:rFonts w:eastAsiaTheme="minorEastAsia"/>
          <w:bCs/>
          <w:lang w:eastAsia="zh-CN"/>
        </w:rPr>
        <w:t>RTT (Round Trip Time) to zero or a very low value to reduce TRS measurement time.</w:t>
      </w:r>
    </w:p>
    <w:p w14:paraId="18FDB067" w14:textId="00991611" w:rsidR="00076052" w:rsidRPr="00076052" w:rsidRDefault="00641352" w:rsidP="00076052">
      <w:pPr>
        <w:pStyle w:val="Heading1"/>
        <w:rPr>
          <w:lang w:eastAsia="ja-JP"/>
        </w:rPr>
      </w:pPr>
      <w:r>
        <w:rPr>
          <w:lang w:eastAsia="ja-JP"/>
        </w:rPr>
        <w:t>R</w:t>
      </w:r>
      <w:r w:rsidR="00076052">
        <w:rPr>
          <w:lang w:eastAsia="ja-JP"/>
        </w:rPr>
        <w:t>eference</w:t>
      </w:r>
    </w:p>
    <w:p w14:paraId="4C9A1E0A" w14:textId="0C1C22F5" w:rsidR="009857F1" w:rsidRPr="009857F1" w:rsidRDefault="009857F1" w:rsidP="00641352">
      <w:pPr>
        <w:pStyle w:val="3GPPNormalText"/>
        <w:numPr>
          <w:ilvl w:val="0"/>
          <w:numId w:val="47"/>
        </w:numPr>
      </w:pPr>
      <w:r>
        <w:rPr>
          <w:lang w:val="en-US"/>
        </w:rPr>
        <w:t xml:space="preserve">R4-2416590 </w:t>
      </w:r>
      <w:r w:rsidRPr="009857F1">
        <w:t>Way Forward for [112</w:t>
      </w:r>
      <w:proofErr w:type="gramStart"/>
      <w:r w:rsidRPr="009857F1">
        <w:t>bis][</w:t>
      </w:r>
      <w:proofErr w:type="gramEnd"/>
      <w:r w:rsidRPr="009857F1">
        <w:t>323] TRP_TRS_Ph3</w:t>
      </w:r>
    </w:p>
    <w:p w14:paraId="251F126B" w14:textId="5165E1F4" w:rsidR="00901990" w:rsidRPr="00641352" w:rsidRDefault="00641352" w:rsidP="00641352">
      <w:pPr>
        <w:pStyle w:val="3GPPNormalText"/>
        <w:numPr>
          <w:ilvl w:val="0"/>
          <w:numId w:val="47"/>
        </w:numPr>
      </w:pPr>
      <w:r w:rsidRPr="00641352">
        <w:rPr>
          <w:lang w:val="en-US"/>
        </w:rPr>
        <w:t>Over-the-Air Performance Evaluation of NB-IoT Over Non-Terrestrial Networks</w:t>
      </w:r>
      <w:r>
        <w:rPr>
          <w:lang w:val="en-US"/>
        </w:rPr>
        <w:t xml:space="preserve">, J. Luo et al, Session 15 on </w:t>
      </w:r>
      <w:r w:rsidRPr="00641352">
        <w:rPr>
          <w:lang w:val="en-US"/>
        </w:rPr>
        <w:t>Advanced Antenna Measurements</w:t>
      </w:r>
      <w:r>
        <w:rPr>
          <w:lang w:val="en-US"/>
        </w:rPr>
        <w:t xml:space="preserve">, the </w:t>
      </w:r>
      <w:r w:rsidRPr="00641352">
        <w:t>46th​ ​Annual​ ​Meeting​ ​and​ ​Symposium​ ​of​ ​the​ ​Antenna​ ​Measurement​ ​Techniques Association</w:t>
      </w:r>
      <w:r>
        <w:rPr>
          <w:lang w:val="en-US"/>
        </w:rPr>
        <w:t>, 27 Oct – 1 November 2024</w:t>
      </w:r>
      <w:r w:rsidR="00B70D65">
        <w:rPr>
          <w:lang w:val="en-US"/>
        </w:rPr>
        <w:t xml:space="preserve">, </w:t>
      </w:r>
      <w:r w:rsidR="00B70D65" w:rsidRPr="00B70D65">
        <w:rPr>
          <w:lang w:val="en-US"/>
        </w:rPr>
        <w:t xml:space="preserve">Cincinnati, </w:t>
      </w:r>
      <w:proofErr w:type="gramStart"/>
      <w:r w:rsidR="00B70D65" w:rsidRPr="00B70D65">
        <w:rPr>
          <w:lang w:val="en-US"/>
        </w:rPr>
        <w:t>OH,​</w:t>
      </w:r>
      <w:proofErr w:type="gramEnd"/>
      <w:r w:rsidR="00B70D65" w:rsidRPr="00B70D65">
        <w:rPr>
          <w:lang w:val="en-US"/>
        </w:rPr>
        <w:t xml:space="preserve"> ​USA</w:t>
      </w:r>
    </w:p>
    <w:p w14:paraId="06F67617" w14:textId="5CCF7B6A" w:rsidR="00641352" w:rsidRPr="00D83686" w:rsidRDefault="00641352" w:rsidP="00D83686">
      <w:pPr>
        <w:pStyle w:val="3GPPNormalText"/>
        <w:numPr>
          <w:ilvl w:val="0"/>
          <w:numId w:val="47"/>
        </w:numPr>
        <w:rPr>
          <w:lang w:val="en-US"/>
        </w:rPr>
      </w:pPr>
      <w:r>
        <w:rPr>
          <w:lang w:val="en-US"/>
        </w:rPr>
        <w:t>TS 38.521-5</w:t>
      </w:r>
      <w:r w:rsidR="00D83686">
        <w:rPr>
          <w:lang w:val="en-US"/>
        </w:rPr>
        <w:t>, v18.</w:t>
      </w:r>
      <w:r w:rsidR="007647AF">
        <w:rPr>
          <w:lang w:val="en-US"/>
        </w:rPr>
        <w:t>3</w:t>
      </w:r>
      <w:r w:rsidR="00D83686">
        <w:rPr>
          <w:lang w:val="en-US"/>
        </w:rPr>
        <w:t xml:space="preserve">, </w:t>
      </w:r>
      <w:r w:rsidR="00D83686" w:rsidRPr="00D83686">
        <w:rPr>
          <w:lang w:val="en-US"/>
        </w:rPr>
        <w:t>User Equipment (UE) conformance specification;</w:t>
      </w:r>
      <w:r w:rsidR="00D83686">
        <w:rPr>
          <w:lang w:val="en-US"/>
        </w:rPr>
        <w:t xml:space="preserve"> </w:t>
      </w:r>
      <w:r w:rsidR="00D83686" w:rsidRPr="00D83686">
        <w:rPr>
          <w:lang w:val="en-US"/>
        </w:rPr>
        <w:t>Radio transmission and reception;</w:t>
      </w:r>
      <w:r w:rsidR="00D83686">
        <w:rPr>
          <w:lang w:val="en-US"/>
        </w:rPr>
        <w:t xml:space="preserve"> </w:t>
      </w:r>
      <w:r w:rsidR="00D83686" w:rsidRPr="00D83686">
        <w:rPr>
          <w:lang w:val="en-US"/>
        </w:rPr>
        <w:t xml:space="preserve">Part 5: Satellite access Radio Frequency (RF) and performance </w:t>
      </w:r>
    </w:p>
    <w:p w14:paraId="75146813" w14:textId="4376C28F" w:rsidR="001B52AD" w:rsidRPr="00455A76" w:rsidRDefault="00641352" w:rsidP="00455A76">
      <w:pPr>
        <w:pStyle w:val="3GPPNormalText"/>
        <w:numPr>
          <w:ilvl w:val="0"/>
          <w:numId w:val="47"/>
        </w:numPr>
        <w:rPr>
          <w:lang w:val="en-US"/>
        </w:rPr>
      </w:pPr>
      <w:r>
        <w:rPr>
          <w:lang w:val="en-US"/>
        </w:rPr>
        <w:t>TS 38.508-1</w:t>
      </w:r>
      <w:r w:rsidR="001B52AD">
        <w:rPr>
          <w:lang w:val="en-US"/>
        </w:rPr>
        <w:t>,</w:t>
      </w:r>
      <w:r w:rsidR="00AA087F">
        <w:rPr>
          <w:lang w:val="en-US"/>
        </w:rPr>
        <w:t xml:space="preserve"> </w:t>
      </w:r>
      <w:r w:rsidR="001B52AD">
        <w:rPr>
          <w:lang w:val="en-US"/>
        </w:rPr>
        <w:t xml:space="preserve">v18.4, </w:t>
      </w:r>
      <w:r w:rsidR="001B52AD" w:rsidRPr="001B52AD">
        <w:rPr>
          <w:lang w:val="en-US"/>
        </w:rPr>
        <w:t>User Equipment (UE) conformance specification;</w:t>
      </w:r>
      <w:r w:rsidR="001B52AD">
        <w:rPr>
          <w:lang w:val="en-US"/>
        </w:rPr>
        <w:t xml:space="preserve"> </w:t>
      </w:r>
      <w:r w:rsidR="001B52AD" w:rsidRPr="001B52AD">
        <w:rPr>
          <w:lang w:val="en-US"/>
        </w:rPr>
        <w:t>Part 1: Common test environment</w:t>
      </w:r>
    </w:p>
    <w:sectPr w:rsidR="001B52AD" w:rsidRPr="00455A76"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A902A" w14:textId="77777777" w:rsidR="003C71D6" w:rsidRDefault="003C71D6">
      <w:r>
        <w:separator/>
      </w:r>
    </w:p>
  </w:endnote>
  <w:endnote w:type="continuationSeparator" w:id="0">
    <w:p w14:paraId="30B19984" w14:textId="77777777" w:rsidR="003C71D6" w:rsidRDefault="003C7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6C9BC" w14:textId="77777777" w:rsidR="003C71D6" w:rsidRDefault="003C71D6">
      <w:r>
        <w:separator/>
      </w:r>
    </w:p>
  </w:footnote>
  <w:footnote w:type="continuationSeparator" w:id="0">
    <w:p w14:paraId="788DD585" w14:textId="77777777" w:rsidR="003C71D6" w:rsidRDefault="003C7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3"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7"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ABF2442"/>
    <w:multiLevelType w:val="hybridMultilevel"/>
    <w:tmpl w:val="CC080E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8"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0"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5"/>
  </w:num>
  <w:num w:numId="4">
    <w:abstractNumId w:val="45"/>
  </w:num>
  <w:num w:numId="5">
    <w:abstractNumId w:val="35"/>
  </w:num>
  <w:num w:numId="6">
    <w:abstractNumId w:val="42"/>
  </w:num>
  <w:num w:numId="7">
    <w:abstractNumId w:val="4"/>
  </w:num>
  <w:num w:numId="8">
    <w:abstractNumId w:val="43"/>
  </w:num>
  <w:num w:numId="9">
    <w:abstractNumId w:val="3"/>
  </w:num>
  <w:num w:numId="10">
    <w:abstractNumId w:val="26"/>
  </w:num>
  <w:num w:numId="11">
    <w:abstractNumId w:val="44"/>
  </w:num>
  <w:num w:numId="12">
    <w:abstractNumId w:val="25"/>
  </w:num>
  <w:num w:numId="13">
    <w:abstractNumId w:val="40"/>
  </w:num>
  <w:num w:numId="14">
    <w:abstractNumId w:val="46"/>
  </w:num>
  <w:num w:numId="15">
    <w:abstractNumId w:val="19"/>
  </w:num>
  <w:num w:numId="16">
    <w:abstractNumId w:val="32"/>
  </w:num>
  <w:num w:numId="17">
    <w:abstractNumId w:val="11"/>
  </w:num>
  <w:num w:numId="18">
    <w:abstractNumId w:val="24"/>
  </w:num>
  <w:num w:numId="19">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5"/>
  </w:num>
  <w:num w:numId="22">
    <w:abstractNumId w:val="33"/>
  </w:num>
  <w:num w:numId="23">
    <w:abstractNumId w:val="34"/>
  </w:num>
  <w:num w:numId="24">
    <w:abstractNumId w:val="7"/>
  </w:num>
  <w:num w:numId="25">
    <w:abstractNumId w:val="39"/>
  </w:num>
  <w:num w:numId="26">
    <w:abstractNumId w:val="9"/>
  </w:num>
  <w:num w:numId="27">
    <w:abstractNumId w:val="1"/>
  </w:num>
  <w:num w:numId="28">
    <w:abstractNumId w:val="28"/>
  </w:num>
  <w:num w:numId="29">
    <w:abstractNumId w:val="13"/>
  </w:num>
  <w:num w:numId="30">
    <w:abstractNumId w:val="36"/>
  </w:num>
  <w:num w:numId="31">
    <w:abstractNumId w:val="41"/>
  </w:num>
  <w:num w:numId="32">
    <w:abstractNumId w:val="14"/>
  </w:num>
  <w:num w:numId="33">
    <w:abstractNumId w:val="21"/>
  </w:num>
  <w:num w:numId="34">
    <w:abstractNumId w:val="10"/>
  </w:num>
  <w:num w:numId="35">
    <w:abstractNumId w:val="38"/>
  </w:num>
  <w:num w:numId="36">
    <w:abstractNumId w:val="0"/>
  </w:num>
  <w:num w:numId="37">
    <w:abstractNumId w:val="37"/>
  </w:num>
  <w:num w:numId="38">
    <w:abstractNumId w:val="17"/>
  </w:num>
  <w:num w:numId="39">
    <w:abstractNumId w:val="27"/>
  </w:num>
  <w:num w:numId="40">
    <w:abstractNumId w:val="6"/>
  </w:num>
  <w:num w:numId="41">
    <w:abstractNumId w:val="8"/>
  </w:num>
  <w:num w:numId="42">
    <w:abstractNumId w:val="23"/>
  </w:num>
  <w:num w:numId="43">
    <w:abstractNumId w:val="16"/>
  </w:num>
  <w:num w:numId="44">
    <w:abstractNumId w:val="2"/>
  </w:num>
  <w:num w:numId="45">
    <w:abstractNumId w:val="12"/>
  </w:num>
  <w:num w:numId="46">
    <w:abstractNumId w:val="22"/>
  </w:num>
  <w:num w:numId="47">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13"/>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52A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845"/>
    <w:rsid w:val="001E6C4D"/>
    <w:rsid w:val="001F0B20"/>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CF0"/>
    <w:rsid w:val="00252DB8"/>
    <w:rsid w:val="002537BC"/>
    <w:rsid w:val="00253A9D"/>
    <w:rsid w:val="00255C58"/>
    <w:rsid w:val="00255EBB"/>
    <w:rsid w:val="00260280"/>
    <w:rsid w:val="0026056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3022A5"/>
    <w:rsid w:val="00302F7B"/>
    <w:rsid w:val="003031AA"/>
    <w:rsid w:val="003035FF"/>
    <w:rsid w:val="00303690"/>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168E8"/>
    <w:rsid w:val="00321150"/>
    <w:rsid w:val="0032136E"/>
    <w:rsid w:val="00323229"/>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3991"/>
    <w:rsid w:val="00345079"/>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C71D6"/>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3DE"/>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A76"/>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206"/>
    <w:rsid w:val="004868C1"/>
    <w:rsid w:val="0048750F"/>
    <w:rsid w:val="0049026D"/>
    <w:rsid w:val="00490FEE"/>
    <w:rsid w:val="00492081"/>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B2E"/>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378B3"/>
    <w:rsid w:val="00541573"/>
    <w:rsid w:val="00542288"/>
    <w:rsid w:val="00542966"/>
    <w:rsid w:val="00542C1F"/>
    <w:rsid w:val="0054348A"/>
    <w:rsid w:val="005437FC"/>
    <w:rsid w:val="0054484D"/>
    <w:rsid w:val="00546596"/>
    <w:rsid w:val="00547FCB"/>
    <w:rsid w:val="00550363"/>
    <w:rsid w:val="00550B7C"/>
    <w:rsid w:val="00551DBD"/>
    <w:rsid w:val="00552CC4"/>
    <w:rsid w:val="00553D31"/>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352"/>
    <w:rsid w:val="00641645"/>
    <w:rsid w:val="006418C7"/>
    <w:rsid w:val="0064246C"/>
    <w:rsid w:val="00642BC6"/>
    <w:rsid w:val="00644790"/>
    <w:rsid w:val="00644AAC"/>
    <w:rsid w:val="00646AD1"/>
    <w:rsid w:val="006501AF"/>
    <w:rsid w:val="00650DDE"/>
    <w:rsid w:val="00651699"/>
    <w:rsid w:val="00653645"/>
    <w:rsid w:val="00653BCF"/>
    <w:rsid w:val="0065505B"/>
    <w:rsid w:val="006563AA"/>
    <w:rsid w:val="00662312"/>
    <w:rsid w:val="006649E9"/>
    <w:rsid w:val="00665CE4"/>
    <w:rsid w:val="006670AC"/>
    <w:rsid w:val="0067045B"/>
    <w:rsid w:val="00670967"/>
    <w:rsid w:val="00672307"/>
    <w:rsid w:val="00674097"/>
    <w:rsid w:val="0067582A"/>
    <w:rsid w:val="0067605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3E"/>
    <w:rsid w:val="0072721D"/>
    <w:rsid w:val="00727435"/>
    <w:rsid w:val="00727CA8"/>
    <w:rsid w:val="00730655"/>
    <w:rsid w:val="00730789"/>
    <w:rsid w:val="00731D77"/>
    <w:rsid w:val="00732360"/>
    <w:rsid w:val="0073270A"/>
    <w:rsid w:val="0073390A"/>
    <w:rsid w:val="00734E64"/>
    <w:rsid w:val="007355AE"/>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47AF"/>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A0F"/>
    <w:rsid w:val="00885D86"/>
    <w:rsid w:val="00886004"/>
    <w:rsid w:val="00886D1F"/>
    <w:rsid w:val="00887AA2"/>
    <w:rsid w:val="00891DD1"/>
    <w:rsid w:val="00891EE1"/>
    <w:rsid w:val="00892801"/>
    <w:rsid w:val="00892FA8"/>
    <w:rsid w:val="00892FD4"/>
    <w:rsid w:val="00893987"/>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BB2"/>
    <w:rsid w:val="00962108"/>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7F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28D8"/>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3B78"/>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087F"/>
    <w:rsid w:val="00AA1CFD"/>
    <w:rsid w:val="00AA2239"/>
    <w:rsid w:val="00AA33D2"/>
    <w:rsid w:val="00AA43A5"/>
    <w:rsid w:val="00AA4455"/>
    <w:rsid w:val="00AA5715"/>
    <w:rsid w:val="00AA784B"/>
    <w:rsid w:val="00AB04CC"/>
    <w:rsid w:val="00AB0B00"/>
    <w:rsid w:val="00AB0C57"/>
    <w:rsid w:val="00AB1195"/>
    <w:rsid w:val="00AB1754"/>
    <w:rsid w:val="00AB1D44"/>
    <w:rsid w:val="00AB374F"/>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0D65"/>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4B41"/>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65"/>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CF7BE5"/>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686"/>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61FA"/>
    <w:rsid w:val="00DA66B4"/>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6F4B"/>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8A"/>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8C4"/>
    <w:rsid w:val="00EF3F18"/>
    <w:rsid w:val="00EF4C88"/>
    <w:rsid w:val="00EF55EB"/>
    <w:rsid w:val="00EF7717"/>
    <w:rsid w:val="00F004E5"/>
    <w:rsid w:val="00F00DCC"/>
    <w:rsid w:val="00F0156F"/>
    <w:rsid w:val="00F01CA8"/>
    <w:rsid w:val="00F05AC8"/>
    <w:rsid w:val="00F0614F"/>
    <w:rsid w:val="00F06A37"/>
    <w:rsid w:val="00F07167"/>
    <w:rsid w:val="00F072D8"/>
    <w:rsid w:val="00F07444"/>
    <w:rsid w:val="00F07A52"/>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11F"/>
    <w:rsid w:val="00F4720E"/>
    <w:rsid w:val="00F47BB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670E8"/>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567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558F23EF-57EC-480F-8B11-B34908449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2</Pages>
  <Words>567</Words>
  <Characters>3237</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26</cp:revision>
  <cp:lastPrinted>2019-04-25T01:09:00Z</cp:lastPrinted>
  <dcterms:created xsi:type="dcterms:W3CDTF">2024-10-28T12:24:00Z</dcterms:created>
  <dcterms:modified xsi:type="dcterms:W3CDTF">2024-11-06T10:23:00Z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1730888313</vt:lpwstr>
  </property>
</Properties>
</file>